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D050C">
      <w:pPr>
        <w:spacing w:before="240" w:after="240"/>
        <w:jc w:val="center"/>
        <w:rPr>
          <w:rFonts w:hint="eastAsia" w:ascii="仿宋" w:hAnsi="仿宋" w:eastAsia="仿宋" w:cs="仿宋"/>
          <w:sz w:val="28"/>
          <w:szCs w:val="28"/>
        </w:rPr>
      </w:pPr>
      <w:r>
        <w:rPr>
          <w:rFonts w:hint="eastAsia" w:ascii="仿宋" w:hAnsi="仿宋" w:eastAsia="仿宋" w:cs="仿宋"/>
          <w:b/>
          <w:bCs/>
          <w:sz w:val="28"/>
          <w:szCs w:val="28"/>
        </w:rPr>
        <w:t>SXCA数字证书电子认证服务协议</w:t>
      </w:r>
    </w:p>
    <w:p w14:paraId="6D71B2B7">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甲方：山西省数字证书认证中心（有限公司）（以下简称“SXCA”或“山西CA”），</w:t>
      </w:r>
      <w:r>
        <w:rPr>
          <w:rFonts w:hint="eastAsia" w:ascii="仿宋" w:hAnsi="仿宋" w:eastAsia="仿宋" w:cs="仿宋"/>
          <w:sz w:val="18"/>
          <w:szCs w:val="18"/>
          <w:lang w:val="en-US" w:eastAsia="zh-CN"/>
        </w:rPr>
        <w:t>为</w:t>
      </w:r>
      <w:r>
        <w:rPr>
          <w:rFonts w:hint="eastAsia" w:ascii="仿宋" w:hAnsi="仿宋" w:eastAsia="仿宋" w:cs="仿宋"/>
          <w:sz w:val="18"/>
          <w:szCs w:val="18"/>
        </w:rPr>
        <w:t>持有《电子认证服务许可证》及《电子认证服务使用密码许可证》的第三方电子认证服务机构。</w:t>
      </w:r>
    </w:p>
    <w:p w14:paraId="175F7008">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乙方：证书申请者/证书订户（以下简称“乙方”或“订户”），</w:t>
      </w:r>
      <w:r>
        <w:rPr>
          <w:rFonts w:hint="eastAsia" w:ascii="仿宋" w:hAnsi="仿宋" w:eastAsia="仿宋" w:cs="仿宋"/>
          <w:sz w:val="18"/>
          <w:szCs w:val="18"/>
          <w:lang w:val="en-US" w:eastAsia="zh-CN"/>
        </w:rPr>
        <w:t>为</w:t>
      </w:r>
      <w:r>
        <w:rPr>
          <w:rFonts w:hint="eastAsia" w:ascii="仿宋" w:hAnsi="仿宋" w:eastAsia="仿宋" w:cs="仿宋"/>
          <w:sz w:val="18"/>
          <w:szCs w:val="18"/>
        </w:rPr>
        <w:t>自愿申请使用SXCA数字证书电子认证服务的个人、机构或设备主体。</w:t>
      </w:r>
    </w:p>
    <w:p w14:paraId="5F41F272">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甲乙双方就SXCA为乙方提供数字证书电子认证服务事宜，根据《电子签名法》《电子认证服务管理办法》《电子认证服务密码管理办法》等法律法规及《SXCA电子认证业务规则》（以下简称“CPS”）订立本协议，共同遵守。</w:t>
      </w:r>
    </w:p>
    <w:p w14:paraId="0F529C28">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一、总则</w:t>
      </w:r>
    </w:p>
    <w:p w14:paraId="5DDF0538">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1.1 乙方在申请证书前应仔细阅读并充分理解本协议及CPS（CPS在SXCA官网www.sxca.com.cn公开发布）。乙方向SXCA递交申请材料即视为已阅读并同意本协议及CPS全部内容，自愿接受其约束；不同意的，请勿申请或使用SXCA数字证书。</w:t>
      </w:r>
    </w:p>
    <w:p w14:paraId="0F04C583">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1.2 本协议自乙方申请获得SXCA审核批准之日起生效。乙方成为证书订户后，享有本协议约定的权利，履行本协议约定的义务。</w:t>
      </w:r>
    </w:p>
    <w:p w14:paraId="27703E45">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1.3 本协议所称数字证书，是指SXCA签发的符合《电子签名法》的电子签名认证证书。</w:t>
      </w:r>
    </w:p>
    <w:p w14:paraId="638D24B4">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1.4 SXCA签发的数字证书仅用于在网络活动中标识乙方身份并对乙方电子签名进行验证，不得用于违法违规用途；具体功能、类型及适用范围以CPS为准。</w:t>
      </w:r>
    </w:p>
    <w:p w14:paraId="26D57123">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 xml:space="preserve">1.5 </w:t>
      </w:r>
      <w:r>
        <w:rPr>
          <w:rFonts w:ascii="仿宋" w:hAnsi="仿宋" w:eastAsia="仿宋" w:cs="仿宋"/>
          <w:sz w:val="18"/>
          <w:szCs w:val="18"/>
        </w:rPr>
        <w:t>本协议可通过互联网以数据电文形式订立，也可</w:t>
      </w:r>
      <w:r>
        <w:rPr>
          <w:rFonts w:hint="eastAsia" w:ascii="仿宋" w:hAnsi="仿宋" w:eastAsia="仿宋" w:cs="仿宋"/>
          <w:sz w:val="18"/>
          <w:szCs w:val="18"/>
          <w:lang w:val="en-US" w:eastAsia="zh-CN"/>
        </w:rPr>
        <w:t>通过</w:t>
      </w:r>
      <w:r>
        <w:rPr>
          <w:rFonts w:ascii="仿宋" w:hAnsi="仿宋" w:eastAsia="仿宋" w:cs="仿宋"/>
          <w:sz w:val="18"/>
          <w:szCs w:val="18"/>
        </w:rPr>
        <w:t>书面形式订立</w:t>
      </w:r>
      <w:r>
        <w:rPr>
          <w:rFonts w:hint="eastAsia" w:ascii="仿宋" w:hAnsi="仿宋" w:eastAsia="仿宋" w:cs="仿宋"/>
          <w:sz w:val="18"/>
          <w:szCs w:val="18"/>
          <w:lang w:eastAsia="zh-CN"/>
        </w:rPr>
        <w:t>，</w:t>
      </w:r>
      <w:r>
        <w:rPr>
          <w:rFonts w:hint="eastAsia" w:ascii="仿宋" w:hAnsi="仿宋" w:eastAsia="仿宋" w:cs="仿宋"/>
          <w:sz w:val="18"/>
          <w:szCs w:val="18"/>
          <w:lang w:val="en-US" w:eastAsia="zh-CN"/>
        </w:rPr>
        <w:t>具有同等法律效力</w:t>
      </w:r>
      <w:r>
        <w:rPr>
          <w:rFonts w:ascii="仿宋" w:hAnsi="仿宋" w:eastAsia="仿宋" w:cs="仿宋"/>
          <w:sz w:val="18"/>
          <w:szCs w:val="18"/>
        </w:rPr>
        <w:t>。当乙方在线阅读并</w:t>
      </w:r>
      <w:r>
        <w:rPr>
          <w:rFonts w:hint="eastAsia" w:ascii="仿宋" w:hAnsi="仿宋" w:eastAsia="仿宋" w:cs="仿宋"/>
          <w:sz w:val="18"/>
          <w:szCs w:val="18"/>
          <w:lang w:val="en-US" w:eastAsia="zh-CN"/>
        </w:rPr>
        <w:t>同意且确认</w:t>
      </w:r>
      <w:r>
        <w:rPr>
          <w:rFonts w:ascii="仿宋" w:hAnsi="仿宋" w:eastAsia="仿宋" w:cs="仿宋"/>
          <w:sz w:val="18"/>
          <w:szCs w:val="18"/>
        </w:rPr>
        <w:t>本协议</w:t>
      </w:r>
      <w:r>
        <w:rPr>
          <w:rFonts w:hint="eastAsia" w:ascii="仿宋" w:hAnsi="仿宋" w:eastAsia="仿宋" w:cs="仿宋"/>
          <w:sz w:val="18"/>
          <w:szCs w:val="18"/>
          <w:lang w:val="en-US" w:eastAsia="zh-CN"/>
        </w:rPr>
        <w:t>内容或完成本协议</w:t>
      </w:r>
      <w:r>
        <w:rPr>
          <w:rFonts w:ascii="仿宋" w:hAnsi="仿宋" w:eastAsia="仿宋" w:cs="仿宋"/>
          <w:sz w:val="18"/>
          <w:szCs w:val="18"/>
        </w:rPr>
        <w:t>线下签</w:t>
      </w:r>
      <w:r>
        <w:rPr>
          <w:rFonts w:hint="eastAsia" w:ascii="仿宋" w:hAnsi="仿宋" w:eastAsia="仿宋" w:cs="仿宋"/>
          <w:sz w:val="18"/>
          <w:szCs w:val="18"/>
          <w:lang w:val="en-US" w:eastAsia="zh-CN"/>
        </w:rPr>
        <w:t>署</w:t>
      </w:r>
      <w:r>
        <w:rPr>
          <w:rFonts w:ascii="仿宋" w:hAnsi="仿宋" w:eastAsia="仿宋" w:cs="仿宋"/>
          <w:sz w:val="18"/>
          <w:szCs w:val="18"/>
        </w:rPr>
        <w:t>，本协议即生效</w:t>
      </w:r>
      <w:r>
        <w:rPr>
          <w:rFonts w:hint="eastAsia" w:ascii="仿宋" w:hAnsi="仿宋" w:eastAsia="仿宋" w:cs="仿宋"/>
          <w:sz w:val="18"/>
          <w:szCs w:val="18"/>
        </w:rPr>
        <w:t>。</w:t>
      </w:r>
    </w:p>
    <w:p w14:paraId="0ABAFB84">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二、证书禁止使用的场景</w:t>
      </w:r>
    </w:p>
    <w:p w14:paraId="12D3FA1D">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根据法律法规及CPS规定，SXCA签发的证书严禁在以下场景中使用：</w:t>
      </w:r>
    </w:p>
    <w:p w14:paraId="020DD8E6">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（1）违反国家法律法规或危害国家安全；</w:t>
      </w:r>
    </w:p>
    <w:p w14:paraId="72C1A61C">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（2）超出证书类型、安全等级、密钥用途及主体绑定范围使用，或转借、冒用、复用；</w:t>
      </w:r>
    </w:p>
    <w:p w14:paraId="217FCE33">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（3）用于人身关系、停止公共事业服务等法律、行政法规规定不适用电子签名的场景；</w:t>
      </w:r>
    </w:p>
    <w:p w14:paraId="242D6296">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（4）用于其他违法违规活动。</w:t>
      </w:r>
    </w:p>
    <w:p w14:paraId="580D08FF">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三、乙方的权利和义务</w:t>
      </w:r>
    </w:p>
    <w:p w14:paraId="71A6CD85">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3.1 乙方的权利</w:t>
      </w:r>
    </w:p>
    <w:p w14:paraId="0C0D7A2A">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（1）按CPS获得SXCA电子认证服务，包括证书签发、续期、更新、变更、撤销、冻结、状态查询等；</w:t>
      </w:r>
    </w:p>
    <w:p w14:paraId="4A98E52D">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（2）通过官网查询CPS、证书策略等公开文档，获取相关技术资料；</w:t>
      </w:r>
    </w:p>
    <w:p w14:paraId="27B05D25">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（3）因SXCA过错导致损失的，有权依据国家相关法律法规申请赔偿；</w:t>
      </w:r>
    </w:p>
    <w:p w14:paraId="26E781B7">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（4）SXCA提供多种类型和级别的电子签名认证证书，乙方可根据实际需求选择合适的证书类型。</w:t>
      </w:r>
    </w:p>
    <w:p w14:paraId="5D43FAD6">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3.2 乙方的义务</w:t>
      </w:r>
    </w:p>
    <w:p w14:paraId="3BDA6218">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（1）如实提供真实、完整、准确的申请材料，信息变更时及时书面通知并办理变更手续。因不实信息造成的损失由乙方自行承担；</w:t>
      </w:r>
    </w:p>
    <w:p w14:paraId="0CDAB755">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（2）妥善保管私钥、密码，定期修改保护密码，发现泄露或失控立即采取应急措施并</w:t>
      </w:r>
      <w:r>
        <w:rPr>
          <w:rFonts w:hint="eastAsia" w:ascii="仿宋" w:hAnsi="仿宋" w:eastAsia="仿宋" w:cs="仿宋"/>
          <w:sz w:val="18"/>
          <w:szCs w:val="18"/>
          <w:lang w:val="en-US" w:eastAsia="zh-CN"/>
        </w:rPr>
        <w:t>立即</w:t>
      </w:r>
      <w:r>
        <w:rPr>
          <w:rFonts w:hint="eastAsia" w:ascii="仿宋" w:hAnsi="仿宋" w:eastAsia="仿宋" w:cs="仿宋"/>
          <w:sz w:val="18"/>
          <w:szCs w:val="18"/>
        </w:rPr>
        <w:t>申请撤销。因乙方原因造成的损失由乙方自行承担；</w:t>
      </w:r>
    </w:p>
    <w:p w14:paraId="4575133A">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（3）领取或</w:t>
      </w:r>
      <w:r>
        <w:rPr>
          <w:rFonts w:hint="eastAsia" w:ascii="仿宋" w:hAnsi="仿宋" w:eastAsia="仿宋" w:cs="仿宋"/>
          <w:sz w:val="18"/>
          <w:szCs w:val="18"/>
          <w:lang w:val="en-US" w:eastAsia="zh-CN"/>
        </w:rPr>
        <w:t>收到</w:t>
      </w:r>
      <w:r>
        <w:rPr>
          <w:rFonts w:hint="eastAsia" w:ascii="仿宋" w:hAnsi="仿宋" w:eastAsia="仿宋" w:cs="仿宋"/>
          <w:sz w:val="18"/>
          <w:szCs w:val="18"/>
        </w:rPr>
        <w:t>证书后1个工作日内核对证书内容和功能，逾期未提出异议视为认可；</w:t>
      </w:r>
    </w:p>
    <w:p w14:paraId="310BF55E">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（4）</w:t>
      </w:r>
      <w:r>
        <w:rPr>
          <w:rFonts w:ascii="仿宋" w:hAnsi="仿宋" w:eastAsia="仿宋" w:cs="仿宋"/>
          <w:sz w:val="18"/>
          <w:szCs w:val="18"/>
        </w:rPr>
        <w:t>定期检查证书状态，确保其有效性，并在证书到期前按规定流程办理更新手续</w:t>
      </w:r>
      <w:r>
        <w:rPr>
          <w:rFonts w:hint="eastAsia" w:ascii="仿宋" w:hAnsi="仿宋" w:eastAsia="仿宋" w:cs="仿宋"/>
          <w:sz w:val="18"/>
          <w:szCs w:val="18"/>
          <w:lang w:eastAsia="zh-CN"/>
        </w:rPr>
        <w:t>，</w:t>
      </w:r>
      <w:r>
        <w:rPr>
          <w:rFonts w:ascii="仿宋" w:hAnsi="仿宋" w:eastAsia="仿宋" w:cs="仿宋"/>
          <w:sz w:val="18"/>
          <w:szCs w:val="18"/>
        </w:rPr>
        <w:t>如因未及时更新导致服务中断</w:t>
      </w:r>
      <w:r>
        <w:rPr>
          <w:rFonts w:hint="eastAsia" w:ascii="仿宋" w:hAnsi="仿宋" w:eastAsia="仿宋" w:cs="仿宋"/>
          <w:sz w:val="18"/>
          <w:szCs w:val="18"/>
        </w:rPr>
        <w:t>造成的损失</w:t>
      </w:r>
      <w:r>
        <w:rPr>
          <w:rFonts w:ascii="仿宋" w:hAnsi="仿宋" w:eastAsia="仿宋" w:cs="仿宋"/>
          <w:sz w:val="18"/>
          <w:szCs w:val="18"/>
        </w:rPr>
        <w:t>由乙方自行承担</w:t>
      </w:r>
      <w:r>
        <w:rPr>
          <w:rFonts w:hint="eastAsia" w:ascii="仿宋" w:hAnsi="仿宋" w:eastAsia="仿宋" w:cs="仿宋"/>
          <w:sz w:val="18"/>
          <w:szCs w:val="18"/>
        </w:rPr>
        <w:t>；</w:t>
      </w:r>
    </w:p>
    <w:p w14:paraId="4A8B3242">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（5）因乙方过错损害SXCA或第三方合法利益的，应赔偿全部损失，包括直接损失、间接损失及合理维权费用</w:t>
      </w:r>
      <w:r>
        <w:rPr>
          <w:rFonts w:ascii="仿宋" w:hAnsi="仿宋" w:eastAsia="仿宋" w:cs="仿宋"/>
          <w:sz w:val="18"/>
          <w:szCs w:val="18"/>
        </w:rPr>
        <w:t>（</w:t>
      </w:r>
      <w:r>
        <w:rPr>
          <w:rFonts w:hint="eastAsia" w:ascii="仿宋" w:hAnsi="仿宋" w:eastAsia="仿宋" w:cs="仿宋"/>
          <w:sz w:val="18"/>
          <w:szCs w:val="18"/>
        </w:rPr>
        <w:t>包括但不限于</w:t>
      </w:r>
      <w:r>
        <w:rPr>
          <w:rFonts w:ascii="仿宋" w:hAnsi="仿宋" w:eastAsia="仿宋" w:cs="仿宋"/>
          <w:sz w:val="18"/>
          <w:szCs w:val="18"/>
        </w:rPr>
        <w:t>律师费、诉讼费、保全费、公证费、差旅费等</w:t>
      </w:r>
      <w:r>
        <w:rPr>
          <w:rFonts w:hint="eastAsia" w:ascii="仿宋" w:hAnsi="仿宋" w:eastAsia="仿宋" w:cs="仿宋"/>
          <w:sz w:val="18"/>
          <w:szCs w:val="18"/>
        </w:rPr>
        <w:t>）。</w:t>
      </w:r>
    </w:p>
    <w:p w14:paraId="065A42E9">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四、甲方的权利和义务</w:t>
      </w:r>
    </w:p>
    <w:p w14:paraId="0180A115">
      <w:pPr>
        <w:spacing w:line="18" w:lineRule="atLeast"/>
        <w:ind w:firstLine="360" w:firstLineChars="200"/>
        <w:rPr>
          <w:rFonts w:hint="eastAsia" w:ascii="仿宋" w:hAnsi="仿宋" w:eastAsia="仿宋" w:cs="仿宋"/>
          <w:sz w:val="18"/>
          <w:szCs w:val="18"/>
          <w:lang w:val="en-US" w:eastAsia="zh-CN"/>
        </w:rPr>
      </w:pPr>
      <w:r>
        <w:rPr>
          <w:rFonts w:hint="eastAsia" w:ascii="仿宋" w:hAnsi="仿宋" w:eastAsia="仿宋" w:cs="仿宋"/>
          <w:sz w:val="18"/>
          <w:szCs w:val="18"/>
        </w:rPr>
        <w:t>4.1 甲方的</w:t>
      </w:r>
      <w:r>
        <w:rPr>
          <w:rFonts w:hint="eastAsia" w:ascii="仿宋" w:hAnsi="仿宋" w:eastAsia="仿宋" w:cs="仿宋"/>
          <w:sz w:val="18"/>
          <w:szCs w:val="18"/>
          <w:lang w:val="en-US" w:eastAsia="zh-CN"/>
        </w:rPr>
        <w:t>权利</w:t>
      </w:r>
    </w:p>
    <w:p w14:paraId="645016E8">
      <w:pPr>
        <w:spacing w:line="18" w:lineRule="atLeast"/>
        <w:ind w:firstLine="360" w:firstLineChars="200"/>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（1）有权要求乙方提供真实、完整、准确的身份资料（个人身份证件、企业营业执照等），并有权对申请材料进行查验、核实；</w:t>
      </w:r>
    </w:p>
    <w:p w14:paraId="4439A391">
      <w:pPr>
        <w:spacing w:line="18" w:lineRule="atLeast"/>
        <w:ind w:firstLine="360" w:firstLineChars="200"/>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（2）当发生乙方主动申请撤销、提供虚假信息、未履行本协议义务、证书私钥或系统安全性无法保证、法律规定以及本协议约定的其他情形时，有权撤销（吊销）或中止证书；</w:t>
      </w:r>
    </w:p>
    <w:p w14:paraId="1F194C31">
      <w:pPr>
        <w:spacing w:line="18" w:lineRule="atLeast"/>
        <w:ind w:firstLine="360" w:firstLineChars="200"/>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（3）</w:t>
      </w:r>
      <w:r>
        <w:rPr>
          <w:rFonts w:ascii="仿宋" w:hAnsi="仿宋" w:eastAsia="仿宋" w:cs="仿宋"/>
          <w:sz w:val="18"/>
          <w:szCs w:val="18"/>
        </w:rPr>
        <w:t>按照本协议及CPS</w:t>
      </w:r>
      <w:r>
        <w:rPr>
          <w:rFonts w:hint="eastAsia" w:ascii="仿宋" w:hAnsi="仿宋" w:eastAsia="仿宋" w:cs="仿宋"/>
          <w:sz w:val="18"/>
          <w:szCs w:val="18"/>
        </w:rPr>
        <w:t>规定</w:t>
      </w:r>
      <w:r>
        <w:rPr>
          <w:rFonts w:ascii="仿宋" w:hAnsi="仿宋" w:eastAsia="仿宋" w:cs="仿宋"/>
          <w:sz w:val="18"/>
          <w:szCs w:val="18"/>
        </w:rPr>
        <w:t>开展</w:t>
      </w:r>
      <w:r>
        <w:rPr>
          <w:rFonts w:hint="eastAsia" w:ascii="仿宋" w:hAnsi="仿宋" w:eastAsia="仿宋" w:cs="仿宋"/>
          <w:sz w:val="18"/>
          <w:szCs w:val="18"/>
        </w:rPr>
        <w:t>电子认证服务业务，</w:t>
      </w:r>
      <w:r>
        <w:rPr>
          <w:rFonts w:ascii="仿宋" w:hAnsi="仿宋" w:eastAsia="仿宋" w:cs="仿宋"/>
          <w:sz w:val="18"/>
          <w:szCs w:val="18"/>
        </w:rPr>
        <w:t>非因甲方过错导致的损失</w:t>
      </w:r>
      <w:r>
        <w:rPr>
          <w:rFonts w:hint="eastAsia" w:ascii="仿宋" w:hAnsi="仿宋" w:eastAsia="仿宋" w:cs="仿宋"/>
          <w:sz w:val="18"/>
          <w:szCs w:val="18"/>
        </w:rPr>
        <w:t>（</w:t>
      </w:r>
      <w:r>
        <w:rPr>
          <w:rFonts w:ascii="仿宋" w:hAnsi="仿宋" w:eastAsia="仿宋" w:cs="仿宋"/>
          <w:sz w:val="18"/>
          <w:szCs w:val="18"/>
        </w:rPr>
        <w:t>包括但不限于因乙方</w:t>
      </w:r>
      <w:r>
        <w:rPr>
          <w:rFonts w:hint="eastAsia" w:ascii="仿宋" w:hAnsi="仿宋" w:eastAsia="仿宋" w:cs="仿宋"/>
          <w:sz w:val="18"/>
          <w:szCs w:val="18"/>
        </w:rPr>
        <w:t>或</w:t>
      </w:r>
      <w:r>
        <w:rPr>
          <w:rFonts w:ascii="仿宋" w:hAnsi="仿宋" w:eastAsia="仿宋" w:cs="仿宋"/>
          <w:sz w:val="18"/>
          <w:szCs w:val="18"/>
        </w:rPr>
        <w:t>第三方服务商原因造成的损失</w:t>
      </w:r>
      <w:r>
        <w:rPr>
          <w:rFonts w:hint="eastAsia" w:ascii="仿宋" w:hAnsi="仿宋" w:eastAsia="仿宋" w:cs="仿宋"/>
          <w:sz w:val="18"/>
          <w:szCs w:val="18"/>
        </w:rPr>
        <w:t>）</w:t>
      </w:r>
      <w:r>
        <w:rPr>
          <w:rFonts w:ascii="仿宋" w:hAnsi="仿宋" w:eastAsia="仿宋" w:cs="仿宋"/>
          <w:sz w:val="18"/>
          <w:szCs w:val="18"/>
        </w:rPr>
        <w:t>，甲方不承担赔偿责任</w:t>
      </w:r>
      <w:r>
        <w:rPr>
          <w:rFonts w:hint="eastAsia" w:ascii="仿宋" w:hAnsi="仿宋" w:eastAsia="仿宋" w:cs="仿宋"/>
          <w:sz w:val="18"/>
          <w:szCs w:val="18"/>
          <w:lang w:eastAsia="zh-CN"/>
        </w:rPr>
        <w:t>；</w:t>
      </w:r>
    </w:p>
    <w:p w14:paraId="75540A52">
      <w:pPr>
        <w:spacing w:line="18" w:lineRule="atLeast"/>
        <w:ind w:firstLine="360" w:firstLineChars="200"/>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（4）按照</w:t>
      </w:r>
      <w:r>
        <w:rPr>
          <w:rFonts w:hint="eastAsia" w:ascii="仿宋" w:hAnsi="仿宋" w:eastAsia="仿宋" w:cs="仿宋"/>
          <w:sz w:val="18"/>
          <w:szCs w:val="18"/>
        </w:rPr>
        <w:t>按市场化定价原则</w:t>
      </w:r>
      <w:r>
        <w:rPr>
          <w:rFonts w:hint="eastAsia" w:ascii="仿宋" w:hAnsi="仿宋" w:eastAsia="仿宋" w:cs="仿宋"/>
          <w:sz w:val="18"/>
          <w:szCs w:val="18"/>
          <w:lang w:val="en-US" w:eastAsia="zh-CN"/>
        </w:rPr>
        <w:t>及本协议的约定，向乙方收取电子认证服务费用。</w:t>
      </w:r>
    </w:p>
    <w:p w14:paraId="230A06AB">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lang w:val="en-US" w:eastAsia="zh-CN"/>
        </w:rPr>
        <w:t>4.2 甲方的</w:t>
      </w:r>
      <w:r>
        <w:rPr>
          <w:rFonts w:hint="eastAsia" w:ascii="仿宋" w:hAnsi="仿宋" w:eastAsia="仿宋" w:cs="仿宋"/>
          <w:sz w:val="18"/>
          <w:szCs w:val="18"/>
        </w:rPr>
        <w:t>服务义务</w:t>
      </w:r>
    </w:p>
    <w:p w14:paraId="4C1F69EF">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（1）依据CPS向乙方提供证书全生命周期服务；</w:t>
      </w:r>
    </w:p>
    <w:p w14:paraId="55714862">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（2）采取符合国家规定的安全防护措施，保障证书信息的保密性、完整性、抗抵赖性；</w:t>
      </w:r>
    </w:p>
    <w:p w14:paraId="5395A84A">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（3）</w:t>
      </w:r>
      <w:r>
        <w:rPr>
          <w:rFonts w:ascii="仿宋" w:hAnsi="仿宋" w:eastAsia="仿宋" w:cs="仿宋"/>
          <w:sz w:val="18"/>
          <w:szCs w:val="18"/>
        </w:rPr>
        <w:t>对乙方申请数字证书时提交的信息、资料进行审核</w:t>
      </w:r>
      <w:r>
        <w:rPr>
          <w:rFonts w:hint="eastAsia" w:ascii="仿宋" w:hAnsi="仿宋" w:eastAsia="仿宋" w:cs="仿宋"/>
          <w:sz w:val="18"/>
          <w:szCs w:val="18"/>
        </w:rPr>
        <w:t>，建立安全认证系统，保护乙方隐私，留存必要日志，建立应急处置机制；</w:t>
      </w:r>
    </w:p>
    <w:p w14:paraId="582CFC37">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（4）因SXCA过错造成乙方损失的，按本协议及CPS承担相应赔偿责任。</w:t>
      </w:r>
    </w:p>
    <w:p w14:paraId="614A3697">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4.</w:t>
      </w:r>
      <w:r>
        <w:rPr>
          <w:rFonts w:hint="eastAsia" w:ascii="仿宋" w:hAnsi="仿宋" w:eastAsia="仿宋" w:cs="仿宋"/>
          <w:sz w:val="18"/>
          <w:szCs w:val="18"/>
          <w:lang w:val="en-US" w:eastAsia="zh-CN"/>
        </w:rPr>
        <w:t>3</w:t>
      </w:r>
      <w:r>
        <w:rPr>
          <w:rFonts w:hint="eastAsia" w:ascii="仿宋" w:hAnsi="仿宋" w:eastAsia="仿宋" w:cs="仿宋"/>
          <w:sz w:val="18"/>
          <w:szCs w:val="18"/>
        </w:rPr>
        <w:t xml:space="preserve"> 甲方的安全保障义务</w:t>
      </w:r>
    </w:p>
    <w:p w14:paraId="0891AF68">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SXCA建立并执行符合国家政策的安全管理制度，具体包括密钥安全、机房安全、网络安全、数据备份、安全审计及应急处置等，详细按照CPS规定执行。</w:t>
      </w:r>
    </w:p>
    <w:p w14:paraId="7641712A">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五、签名私钥管理</w:t>
      </w:r>
    </w:p>
    <w:p w14:paraId="45EC10FE">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5.1 私钥存储方式</w:t>
      </w:r>
    </w:p>
    <w:p w14:paraId="2B57EEDC">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签名私钥存储方式包括订户自行持有和委托CA机构保管两种，具体安全要求及技术实现详细按照CPS规定执行。</w:t>
      </w:r>
    </w:p>
    <w:p w14:paraId="02EA3424">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5.2 安全保管要求</w:t>
      </w:r>
    </w:p>
    <w:p w14:paraId="15F42C6C">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乙方应妥善保管签名私钥、保护密码及激活数据，确保在安全环境中使用数字证书，具体安全保管要求详细按照CPS规定执行。</w:t>
      </w:r>
    </w:p>
    <w:p w14:paraId="736F44D6">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5.3 泄漏处置流程</w:t>
      </w:r>
    </w:p>
    <w:p w14:paraId="1A34B973">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发现私钥泄露或安全隐患时，乙方应立即停止使用，及时向SXCA或注册机构申请撤销，并配合调查处置。具体流程及联系方式详细按照CPS规定执行。</w:t>
      </w:r>
    </w:p>
    <w:p w14:paraId="6BAEB3AC">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六、收费项目与标准</w:t>
      </w:r>
    </w:p>
    <w:p w14:paraId="363B1462">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数字证书收费标准按市场化定价原则确定，并在SXCA官网（www.sxca.com.cn）或相关平台公开发布；费用调整时通过官网或书面函件等方式进行通知。</w:t>
      </w:r>
    </w:p>
    <w:p w14:paraId="3249054A">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6.1 收费项目</w:t>
      </w:r>
    </w:p>
    <w:p w14:paraId="2D3B8401">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（1）证书新申请、续期、更新、变更等服务费用按公示的收费标准收取，具体标准查询官网或咨询客服；</w:t>
      </w:r>
    </w:p>
    <w:p w14:paraId="59414FF0">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（2）证书信息查询、CRL查询在有效期内不收费；</w:t>
      </w:r>
    </w:p>
    <w:p w14:paraId="7E356B60">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（3）OCSP服务费用及定制服务费用另行约定。</w:t>
      </w:r>
    </w:p>
    <w:p w14:paraId="115078FD">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6.2 退款政策</w:t>
      </w:r>
    </w:p>
    <w:p w14:paraId="378F8E9C">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数字证书一经订户接受，</w:t>
      </w:r>
      <w:r>
        <w:rPr>
          <w:rFonts w:ascii="仿宋" w:hAnsi="仿宋" w:eastAsia="仿宋" w:cs="仿宋"/>
          <w:sz w:val="18"/>
          <w:szCs w:val="18"/>
        </w:rPr>
        <w:t>即视为甲方已完成本协议项下全部服务义务</w:t>
      </w:r>
      <w:r>
        <w:rPr>
          <w:rFonts w:hint="eastAsia" w:ascii="仿宋" w:hAnsi="仿宋" w:eastAsia="仿宋" w:cs="仿宋"/>
          <w:sz w:val="18"/>
          <w:szCs w:val="18"/>
        </w:rPr>
        <w:t>，不办理退证、退款；服务期内退出服务体系的，不退还剩余时间服务费用。</w:t>
      </w:r>
    </w:p>
    <w:p w14:paraId="0B11FCFE">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七、信息安全保障</w:t>
      </w:r>
    </w:p>
    <w:p w14:paraId="007CA3D0">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7.1 机房安全、网络安全、系统安全、数据安全、人员安全等保障措施详细按照CPS规定执行；</w:t>
      </w:r>
    </w:p>
    <w:p w14:paraId="6536F3D5">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7.2 建立备份机制，确保业务连续性；</w:t>
      </w:r>
    </w:p>
    <w:p w14:paraId="52A9791C">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7.3 相关审计记录的保存期限符合法律法规及CPS要求。</w:t>
      </w:r>
    </w:p>
    <w:p w14:paraId="6D099EA5">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八、</w:t>
      </w:r>
      <w:r>
        <w:rPr>
          <w:rFonts w:ascii="仿宋" w:hAnsi="仿宋" w:eastAsia="仿宋" w:cs="仿宋"/>
          <w:sz w:val="18"/>
          <w:szCs w:val="18"/>
        </w:rPr>
        <w:t>证书的撤销</w:t>
      </w:r>
    </w:p>
    <w:p w14:paraId="5C128B35">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8.1 有下列情形之一的，甲方有权撤销所签发的数字证书：</w:t>
      </w:r>
    </w:p>
    <w:p w14:paraId="72EB2CD2">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（1）乙方（或其授权的代理人）书面申请撤销；</w:t>
      </w:r>
    </w:p>
    <w:p w14:paraId="002C9CB5">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（2）乙方反馈或甲方取得合理证据，证明与证书公钥对应的乙方私钥遭到了损害；</w:t>
      </w:r>
    </w:p>
    <w:p w14:paraId="5D065D32">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（3）乙方申请证书时未提供真实、完整、准确的信息，或甲方取得合理证据表明乙方证书中的重要信息内容已经变更；</w:t>
      </w:r>
    </w:p>
    <w:p w14:paraId="25CE2A1B">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（4）乙方违反本协议或CPS的约定的；</w:t>
      </w:r>
    </w:p>
    <w:p w14:paraId="52D7F4E8">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（5）法律、行政法规规定的其他情况。</w:t>
      </w:r>
    </w:p>
    <w:p w14:paraId="6AD7ADCD">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8.2 证书一旦被撤销，乙方将不能再使用该证书。</w:t>
      </w:r>
    </w:p>
    <w:p w14:paraId="7B832C9F">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九、协议的终止</w:t>
      </w:r>
    </w:p>
    <w:p w14:paraId="08B4A88F">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本协议在以下情形下终止：</w:t>
      </w:r>
    </w:p>
    <w:p w14:paraId="311689B0">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（1）证书到期未续期；</w:t>
      </w:r>
    </w:p>
    <w:p w14:paraId="2B2C9B3D">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（2）乙方主动申请撤销证书；</w:t>
      </w:r>
    </w:p>
    <w:p w14:paraId="155EB049">
      <w:pPr>
        <w:spacing w:line="18" w:lineRule="atLeast"/>
        <w:ind w:firstLine="360" w:firstLineChars="200"/>
        <w:rPr>
          <w:rFonts w:ascii="仿宋" w:hAnsi="仿宋" w:eastAsia="仿宋" w:cs="仿宋"/>
          <w:sz w:val="18"/>
          <w:szCs w:val="18"/>
        </w:rPr>
      </w:pPr>
      <w:r>
        <w:rPr>
          <w:rFonts w:hint="eastAsia" w:ascii="仿宋" w:hAnsi="仿宋" w:eastAsia="仿宋" w:cs="仿宋"/>
          <w:sz w:val="18"/>
          <w:szCs w:val="18"/>
        </w:rPr>
        <w:t>（3）乙方违反本协议或CPS，SXCA强制撤销证书；</w:t>
      </w:r>
    </w:p>
    <w:p w14:paraId="18ED7584">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（4）SXCA依法终止电子认证服务。</w:t>
      </w:r>
    </w:p>
    <w:p w14:paraId="08F78A59">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十、争议解决</w:t>
      </w:r>
    </w:p>
    <w:p w14:paraId="080BED3A">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甲乙双方如有争议，双方协商或调解不成的，任何一方可向甲方所在地有管辖权的人民法院提起诉讼予以解决。</w:t>
      </w:r>
    </w:p>
    <w:p w14:paraId="7A8BA7A4">
      <w:pPr>
        <w:spacing w:line="18" w:lineRule="atLeast"/>
        <w:ind w:firstLine="360" w:firstLineChars="200"/>
        <w:rPr>
          <w:rFonts w:hint="eastAsia" w:ascii="仿宋" w:hAnsi="仿宋" w:eastAsia="仿宋" w:cs="仿宋"/>
          <w:sz w:val="18"/>
          <w:szCs w:val="18"/>
        </w:rPr>
      </w:pPr>
      <w:r>
        <w:rPr>
          <w:rFonts w:hint="eastAsia" w:ascii="仿宋" w:hAnsi="仿宋" w:eastAsia="仿宋" w:cs="仿宋"/>
          <w:sz w:val="18"/>
          <w:szCs w:val="18"/>
        </w:rPr>
        <w:t>十一、附则</w:t>
      </w:r>
    </w:p>
    <w:p w14:paraId="5009AAB9">
      <w:pPr>
        <w:spacing w:line="18" w:lineRule="atLeast"/>
        <w:ind w:firstLine="420"/>
        <w:rPr>
          <w:rFonts w:hint="eastAsia" w:ascii="仿宋" w:hAnsi="仿宋" w:eastAsia="仿宋" w:cs="仿宋"/>
          <w:sz w:val="18"/>
          <w:szCs w:val="18"/>
        </w:rPr>
      </w:pPr>
      <w:r>
        <w:rPr>
          <w:rFonts w:hint="eastAsia" w:ascii="仿宋" w:hAnsi="仿宋" w:eastAsia="仿宋" w:cs="仿宋"/>
          <w:sz w:val="18"/>
          <w:szCs w:val="18"/>
        </w:rPr>
        <w:t>11.1 本协议适用中华人民共和国法律，包括但不限于《电子签名法》《网络安全法》《数据安全法》《个人信息保护法》《商用密码管理条例》《电子认证服务管理办法》《电子认证服务密码管理办法》等。</w:t>
      </w:r>
    </w:p>
    <w:p w14:paraId="1719DCBA">
      <w:pPr>
        <w:spacing w:line="18" w:lineRule="atLeast"/>
        <w:ind w:firstLine="420"/>
        <w:rPr>
          <w:rFonts w:hint="eastAsia" w:ascii="仿宋" w:hAnsi="仿宋" w:eastAsia="仿宋" w:cs="仿宋"/>
          <w:sz w:val="18"/>
          <w:szCs w:val="18"/>
        </w:rPr>
      </w:pPr>
      <w:r>
        <w:rPr>
          <w:rFonts w:hint="eastAsia" w:ascii="仿宋" w:hAnsi="仿宋" w:eastAsia="仿宋" w:cs="仿宋"/>
          <w:sz w:val="18"/>
          <w:szCs w:val="18"/>
        </w:rPr>
        <w:t>11.2 本协议</w:t>
      </w:r>
      <w:r>
        <w:rPr>
          <w:rFonts w:hint="eastAsia" w:ascii="仿宋" w:hAnsi="仿宋" w:eastAsia="仿宋" w:cs="仿宋"/>
          <w:sz w:val="18"/>
          <w:szCs w:val="18"/>
          <w:lang w:val="en-US" w:eastAsia="zh-CN"/>
        </w:rPr>
        <w:t>自乙方确认或签署之日起生效，</w:t>
      </w:r>
      <w:r>
        <w:rPr>
          <w:rFonts w:hint="eastAsia" w:ascii="仿宋" w:hAnsi="仿宋" w:eastAsia="仿宋" w:cs="仿宋"/>
          <w:sz w:val="18"/>
          <w:szCs w:val="18"/>
        </w:rPr>
        <w:t>与CPS</w:t>
      </w:r>
      <w:r>
        <w:rPr>
          <w:rFonts w:ascii="仿宋" w:hAnsi="仿宋" w:eastAsia="仿宋" w:cs="仿宋"/>
          <w:sz w:val="18"/>
          <w:szCs w:val="18"/>
        </w:rPr>
        <w:t>共同构成</w:t>
      </w:r>
      <w:r>
        <w:rPr>
          <w:rFonts w:hint="eastAsia" w:ascii="仿宋" w:hAnsi="仿宋" w:eastAsia="仿宋" w:cs="仿宋"/>
          <w:sz w:val="18"/>
          <w:szCs w:val="18"/>
        </w:rPr>
        <w:t>甲乙双方</w:t>
      </w:r>
      <w:r>
        <w:rPr>
          <w:rFonts w:ascii="仿宋" w:hAnsi="仿宋" w:eastAsia="仿宋" w:cs="仿宋"/>
          <w:sz w:val="18"/>
          <w:szCs w:val="18"/>
        </w:rPr>
        <w:t>关于申请和使用</w:t>
      </w:r>
      <w:r>
        <w:rPr>
          <w:rFonts w:hint="eastAsia" w:ascii="仿宋" w:hAnsi="仿宋" w:eastAsia="仿宋" w:cs="仿宋"/>
          <w:sz w:val="18"/>
          <w:szCs w:val="18"/>
        </w:rPr>
        <w:t>数字证书电子认证服务</w:t>
      </w:r>
      <w:r>
        <w:rPr>
          <w:rFonts w:ascii="仿宋" w:hAnsi="仿宋" w:eastAsia="仿宋" w:cs="仿宋"/>
          <w:sz w:val="18"/>
          <w:szCs w:val="18"/>
        </w:rPr>
        <w:t>的完整协议</w:t>
      </w:r>
      <w:r>
        <w:rPr>
          <w:rFonts w:hint="eastAsia" w:ascii="仿宋" w:hAnsi="仿宋" w:eastAsia="仿宋" w:cs="仿宋"/>
          <w:sz w:val="18"/>
          <w:szCs w:val="18"/>
        </w:rPr>
        <w:t>，CPS详见SXCA官网www.sxca.com.cn。</w:t>
      </w:r>
    </w:p>
    <w:p w14:paraId="6DBAB229">
      <w:pPr>
        <w:spacing w:line="18" w:lineRule="atLeast"/>
        <w:ind w:firstLine="420"/>
        <w:rPr>
          <w:rFonts w:hint="eastAsia" w:ascii="仿宋" w:hAnsi="仿宋" w:eastAsia="仿宋" w:cs="仿宋"/>
          <w:sz w:val="18"/>
          <w:szCs w:val="18"/>
        </w:rPr>
      </w:pPr>
      <w:r>
        <w:rPr>
          <w:rFonts w:hint="eastAsia" w:ascii="仿宋" w:hAnsi="仿宋" w:eastAsia="仿宋" w:cs="仿宋"/>
          <w:sz w:val="18"/>
          <w:szCs w:val="18"/>
        </w:rPr>
        <w:t>11.3 任何条款因与法律法规相抵触被认定无效的，不影响其他条款效力。</w:t>
      </w:r>
    </w:p>
    <w:p w14:paraId="166DC97B">
      <w:pPr>
        <w:spacing w:line="18" w:lineRule="atLeast"/>
        <w:ind w:firstLine="420"/>
        <w:rPr>
          <w:rFonts w:hint="eastAsia" w:ascii="仿宋" w:hAnsi="仿宋" w:eastAsia="仿宋" w:cs="仿宋"/>
          <w:sz w:val="18"/>
          <w:szCs w:val="18"/>
        </w:rPr>
      </w:pPr>
      <w:r>
        <w:rPr>
          <w:rFonts w:hint="eastAsia" w:ascii="仿宋" w:hAnsi="仿宋" w:eastAsia="仿宋" w:cs="仿宋"/>
          <w:sz w:val="18"/>
          <w:szCs w:val="18"/>
        </w:rPr>
        <w:t>11.4 SXCA未行使或延迟行使本协议项下任何权利，不构成对该权利的放弃。</w:t>
      </w:r>
    </w:p>
    <w:p w14:paraId="2339F919">
      <w:pPr>
        <w:spacing w:line="18" w:lineRule="atLeast"/>
        <w:ind w:firstLine="420"/>
        <w:rPr>
          <w:rFonts w:hint="eastAsia" w:ascii="仿宋" w:hAnsi="仿宋" w:eastAsia="仿宋" w:cs="仿宋"/>
          <w:sz w:val="18"/>
          <w:szCs w:val="18"/>
        </w:rPr>
      </w:pPr>
      <w:r>
        <w:rPr>
          <w:rFonts w:hint="eastAsia" w:ascii="仿宋" w:hAnsi="仿宋" w:eastAsia="仿宋" w:cs="仿宋"/>
          <w:sz w:val="18"/>
          <w:szCs w:val="18"/>
        </w:rPr>
        <w:t>11.5 乙方申请电子签名认证证书即视为已阅读并理解本协议全部内容，同意承担证书持有人的相关责任和义务。</w:t>
      </w:r>
    </w:p>
    <w:p w14:paraId="11059E64">
      <w:pPr>
        <w:spacing w:before="200" w:after="200" w:line="18" w:lineRule="atLeast"/>
        <w:jc w:val="left"/>
        <w:rPr>
          <w:rFonts w:hint="eastAsia" w:ascii="仿宋_GB2312" w:hAnsi="仿宋_GB2312" w:eastAsia="仿宋_GB2312" w:cs="仿宋_GB2312"/>
          <w:sz w:val="18"/>
          <w:szCs w:val="18"/>
        </w:rPr>
      </w:pPr>
      <w:r>
        <w:rPr>
          <w:rFonts w:hint="eastAsia" w:ascii="仿宋_GB2312" w:hAnsi="仿宋_GB2312" w:eastAsia="仿宋_GB2312" w:cs="仿宋_GB2312"/>
          <w:b/>
          <w:bCs/>
          <w:sz w:val="18"/>
          <w:szCs w:val="18"/>
        </w:rPr>
        <w:t>（以下无正文，为签字盖章部分）</w:t>
      </w:r>
    </w:p>
    <w:p w14:paraId="6F08A748">
      <w:pPr>
        <w:spacing w:before="200" w:after="200" w:line="18" w:lineRule="atLeast"/>
        <w:ind w:firstLine="542" w:firstLineChars="300"/>
        <w:jc w:val="left"/>
        <w:rPr>
          <w:rFonts w:hint="eastAsia" w:ascii="仿宋_GB2312" w:hAnsi="仿宋_GB2312" w:eastAsia="仿宋_GB2312" w:cs="仿宋_GB2312"/>
          <w:b/>
          <w:bCs/>
          <w:sz w:val="18"/>
          <w:szCs w:val="18"/>
        </w:rPr>
      </w:pPr>
    </w:p>
    <w:p w14:paraId="54C1AA8E">
      <w:pPr>
        <w:keepNext w:val="0"/>
        <w:keepLines w:val="0"/>
        <w:pageBreakBefore w:val="0"/>
        <w:widowControl w:val="0"/>
        <w:kinsoku/>
        <w:wordWrap/>
        <w:overflowPunct/>
        <w:topLinePunct w:val="0"/>
        <w:autoSpaceDE/>
        <w:autoSpaceDN/>
        <w:bidi w:val="0"/>
        <w:adjustRightInd/>
        <w:snapToGrid/>
        <w:spacing w:before="200" w:after="200" w:line="480" w:lineRule="auto"/>
        <w:ind w:firstLine="540" w:firstLineChars="300"/>
        <w:jc w:val="left"/>
        <w:textAlignment w:val="auto"/>
        <w:rPr>
          <w:rFonts w:ascii="仿宋_GB2312" w:hAnsi="仿宋_GB2312" w:eastAsia="仿宋_GB2312" w:cs="仿宋_GB2312"/>
          <w:sz w:val="18"/>
          <w:szCs w:val="18"/>
        </w:rPr>
      </w:pPr>
      <w:r>
        <w:rPr>
          <w:rFonts w:hint="eastAsia" w:ascii="仿宋_GB2312" w:hAnsi="仿宋_GB2312" w:eastAsia="仿宋_GB2312" w:cs="仿宋_GB2312"/>
          <w:sz w:val="18"/>
          <w:szCs w:val="18"/>
        </w:rPr>
        <w:t>乙方</w:t>
      </w:r>
      <w:r>
        <w:rPr>
          <w:rFonts w:hint="eastAsia" w:ascii="仿宋_GB2312" w:hAnsi="仿宋_GB2312" w:eastAsia="仿宋_GB2312" w:cs="仿宋_GB2312"/>
          <w:sz w:val="18"/>
          <w:szCs w:val="18"/>
          <w:lang w:eastAsia="zh-CN"/>
        </w:rPr>
        <w:t>（加盖单位公章）</w:t>
      </w:r>
      <w:r>
        <w:rPr>
          <w:rFonts w:hint="eastAsia" w:ascii="仿宋_GB2312" w:hAnsi="仿宋_GB2312" w:eastAsia="仿宋_GB2312" w:cs="仿宋_GB2312"/>
          <w:sz w:val="18"/>
          <w:szCs w:val="18"/>
        </w:rPr>
        <w:t>：_</w:t>
      </w:r>
      <w:r>
        <w:rPr>
          <w:rFonts w:ascii="仿宋_GB2312" w:hAnsi="仿宋_GB2312" w:eastAsia="仿宋_GB2312" w:cs="仿宋_GB2312"/>
          <w:sz w:val="18"/>
          <w:szCs w:val="18"/>
        </w:rPr>
        <w:t>_________________</w:t>
      </w:r>
    </w:p>
    <w:p w14:paraId="54813A77">
      <w:pPr>
        <w:keepNext w:val="0"/>
        <w:keepLines w:val="0"/>
        <w:pageBreakBefore w:val="0"/>
        <w:widowControl w:val="0"/>
        <w:kinsoku/>
        <w:wordWrap/>
        <w:overflowPunct/>
        <w:topLinePunct w:val="0"/>
        <w:autoSpaceDE/>
        <w:autoSpaceDN/>
        <w:bidi w:val="0"/>
        <w:adjustRightInd/>
        <w:snapToGrid/>
        <w:spacing w:after="100" w:line="480" w:lineRule="auto"/>
        <w:ind w:firstLine="540" w:firstLineChars="300"/>
        <w:jc w:val="left"/>
        <w:textAlignment w:val="auto"/>
        <w:rPr>
          <w:rFonts w:hint="eastAsia" w:ascii="仿宋_GB2312" w:hAnsi="仿宋_GB2312" w:eastAsia="仿宋_GB2312" w:cs="仿宋_GB2312"/>
          <w:sz w:val="18"/>
          <w:szCs w:val="18"/>
        </w:rPr>
      </w:pPr>
      <w:r>
        <w:rPr>
          <w:rFonts w:ascii="仿宋_GB2312" w:hAnsi="仿宋_GB2312" w:eastAsia="仿宋_GB2312" w:cs="仿宋_GB2312"/>
          <w:sz w:val="18"/>
          <w:szCs w:val="18"/>
        </w:rPr>
        <w:t>统一社会信用代码：__________________</w:t>
      </w:r>
      <w:bookmarkStart w:id="0" w:name="_GoBack"/>
      <w:bookmarkEnd w:id="0"/>
    </w:p>
    <w:p w14:paraId="354CCEC8">
      <w:pPr>
        <w:keepNext w:val="0"/>
        <w:keepLines w:val="0"/>
        <w:pageBreakBefore w:val="0"/>
        <w:widowControl w:val="0"/>
        <w:kinsoku/>
        <w:wordWrap/>
        <w:overflowPunct/>
        <w:topLinePunct w:val="0"/>
        <w:autoSpaceDE/>
        <w:autoSpaceDN/>
        <w:bidi w:val="0"/>
        <w:adjustRightInd/>
        <w:snapToGrid/>
        <w:spacing w:before="200" w:after="200" w:line="480" w:lineRule="auto"/>
        <w:ind w:firstLine="540" w:firstLineChars="300"/>
        <w:jc w:val="left"/>
        <w:textAlignment w:val="auto"/>
        <w:rPr>
          <w:rFonts w:hint="eastAsia" w:ascii="仿宋_GB2312" w:hAnsi="仿宋_GB2312" w:eastAsia="仿宋_GB2312" w:cs="仿宋_GB2312"/>
          <w:sz w:val="18"/>
          <w:szCs w:val="18"/>
          <w:u w:val="single"/>
        </w:rPr>
      </w:pPr>
      <w:r>
        <w:rPr>
          <w:rFonts w:hint="eastAsia" w:ascii="仿宋_GB2312" w:hAnsi="仿宋_GB2312" w:eastAsia="仿宋_GB2312" w:cs="仿宋_GB2312"/>
          <w:sz w:val="18"/>
          <w:szCs w:val="18"/>
        </w:rPr>
        <w:t>经办人（签名）：</w:t>
      </w:r>
      <w:r>
        <w:rPr>
          <w:rFonts w:ascii="仿宋_GB2312" w:hAnsi="仿宋_GB2312" w:eastAsia="仿宋_GB2312" w:cs="仿宋_GB2312"/>
          <w:sz w:val="18"/>
          <w:szCs w:val="18"/>
        </w:rPr>
        <w:t>__________________</w:t>
      </w:r>
    </w:p>
    <w:p w14:paraId="7F2BAB1C">
      <w:pPr>
        <w:keepNext w:val="0"/>
        <w:keepLines w:val="0"/>
        <w:pageBreakBefore w:val="0"/>
        <w:widowControl w:val="0"/>
        <w:kinsoku/>
        <w:wordWrap/>
        <w:overflowPunct/>
        <w:topLinePunct w:val="0"/>
        <w:autoSpaceDE/>
        <w:autoSpaceDN/>
        <w:bidi w:val="0"/>
        <w:adjustRightInd/>
        <w:snapToGrid/>
        <w:spacing w:after="100" w:line="480" w:lineRule="auto"/>
        <w:ind w:firstLine="540" w:firstLineChars="300"/>
        <w:jc w:val="left"/>
        <w:textAlignment w:val="auto"/>
        <w:rPr>
          <w:rFonts w:hint="eastAsia" w:ascii="仿宋_GB2312" w:hAnsi="仿宋_GB2312" w:eastAsia="仿宋_GB2312" w:cs="仿宋_GB2312"/>
          <w:sz w:val="18"/>
          <w:szCs w:val="18"/>
        </w:rPr>
      </w:pPr>
      <w:r>
        <w:rPr>
          <w:rFonts w:ascii="仿宋_GB2312" w:hAnsi="仿宋_GB2312" w:eastAsia="仿宋_GB2312" w:cs="仿宋_GB2312"/>
          <w:sz w:val="18"/>
          <w:szCs w:val="18"/>
        </w:rPr>
        <w:t>联系电话：__________________</w:t>
      </w:r>
    </w:p>
    <w:p w14:paraId="40582497">
      <w:pPr>
        <w:keepNext w:val="0"/>
        <w:keepLines w:val="0"/>
        <w:pageBreakBefore w:val="0"/>
        <w:widowControl w:val="0"/>
        <w:kinsoku/>
        <w:wordWrap/>
        <w:overflowPunct/>
        <w:topLinePunct w:val="0"/>
        <w:autoSpaceDE/>
        <w:autoSpaceDN/>
        <w:bidi w:val="0"/>
        <w:adjustRightInd/>
        <w:snapToGrid/>
        <w:spacing w:after="100" w:line="480" w:lineRule="auto"/>
        <w:ind w:firstLine="540" w:firstLineChars="300"/>
        <w:jc w:val="left"/>
        <w:textAlignment w:val="auto"/>
        <w:rPr>
          <w:sz w:val="18"/>
          <w:szCs w:val="20"/>
        </w:rPr>
      </w:pPr>
      <w:r>
        <w:rPr>
          <w:rFonts w:ascii="仿宋_GB2312" w:hAnsi="仿宋_GB2312" w:eastAsia="仿宋_GB2312" w:cs="仿宋_GB2312"/>
          <w:sz w:val="18"/>
          <w:szCs w:val="18"/>
        </w:rPr>
        <w:t>日期：______年______月______日</w:t>
      </w:r>
    </w:p>
    <w:p w14:paraId="69A782B8">
      <w:pPr>
        <w:keepNext w:val="0"/>
        <w:keepLines w:val="0"/>
        <w:pageBreakBefore w:val="0"/>
        <w:widowControl w:val="0"/>
        <w:kinsoku/>
        <w:wordWrap/>
        <w:overflowPunct/>
        <w:topLinePunct w:val="0"/>
        <w:autoSpaceDE/>
        <w:autoSpaceDN/>
        <w:bidi w:val="0"/>
        <w:adjustRightInd/>
        <w:snapToGrid/>
        <w:spacing w:after="100" w:line="30" w:lineRule="atLeast"/>
        <w:ind w:firstLine="540" w:firstLineChars="300"/>
        <w:jc w:val="left"/>
        <w:textAlignment w:val="auto"/>
        <w:rPr>
          <w:rFonts w:hint="eastAsia" w:ascii="仿宋_GB2312" w:hAnsi="仿宋_GB2312" w:eastAsia="仿宋_GB2312" w:cs="仿宋_GB2312"/>
          <w:sz w:val="18"/>
          <w:szCs w:val="18"/>
        </w:rPr>
      </w:pPr>
    </w:p>
    <w:sectPr>
      <w:footerReference r:id="rId3" w:type="default"/>
      <w:pgSz w:w="11906" w:h="16838"/>
      <w:pgMar w:top="616" w:right="680" w:bottom="816" w:left="68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26B2C">
    <w:pPr>
      <w:jc w:val="center"/>
    </w:pPr>
    <w:r>
      <w:rPr>
        <w:rFonts w:ascii="仿宋_GB2312" w:hAnsi="仿宋_GB2312" w:eastAsia="仿宋_GB2312" w:cs="仿宋_GB2312"/>
        <w:color w:val="888888"/>
        <w:sz w:val="16"/>
        <w:szCs w:val="16"/>
      </w:rPr>
      <w:t xml:space="preserve">第 </w:t>
    </w:r>
    <w:r>
      <w:rPr>
        <w:rFonts w:ascii="仿宋_GB2312" w:hAnsi="仿宋_GB2312" w:eastAsia="仿宋_GB2312" w:cs="仿宋_GB2312"/>
        <w:color w:val="888888"/>
        <w:sz w:val="16"/>
        <w:szCs w:val="16"/>
      </w:rPr>
      <w:fldChar w:fldCharType="begin"/>
    </w:r>
    <w:r>
      <w:rPr>
        <w:rFonts w:ascii="仿宋_GB2312" w:hAnsi="仿宋_GB2312" w:eastAsia="仿宋_GB2312" w:cs="仿宋_GB2312"/>
        <w:color w:val="888888"/>
        <w:sz w:val="16"/>
        <w:szCs w:val="16"/>
      </w:rPr>
      <w:instrText xml:space="preserve">PAGE</w:instrText>
    </w:r>
    <w:r>
      <w:rPr>
        <w:rFonts w:ascii="仿宋_GB2312" w:hAnsi="仿宋_GB2312" w:eastAsia="仿宋_GB2312" w:cs="仿宋_GB2312"/>
        <w:color w:val="888888"/>
        <w:sz w:val="16"/>
        <w:szCs w:val="16"/>
      </w:rPr>
      <w:fldChar w:fldCharType="separate"/>
    </w:r>
    <w:r>
      <w:rPr>
        <w:rFonts w:ascii="仿宋_GB2312" w:hAnsi="仿宋_GB2312" w:eastAsia="仿宋_GB2312" w:cs="仿宋_GB2312"/>
        <w:color w:val="888888"/>
        <w:sz w:val="16"/>
        <w:szCs w:val="16"/>
      </w:rPr>
      <w:t>1</w:t>
    </w:r>
    <w:r>
      <w:rPr>
        <w:rFonts w:ascii="仿宋_GB2312" w:hAnsi="仿宋_GB2312" w:eastAsia="仿宋_GB2312" w:cs="仿宋_GB2312"/>
        <w:color w:val="888888"/>
        <w:sz w:val="16"/>
        <w:szCs w:val="16"/>
      </w:rPr>
      <w:fldChar w:fldCharType="end"/>
    </w:r>
    <w:r>
      <w:rPr>
        <w:rFonts w:ascii="仿宋_GB2312" w:hAnsi="仿宋_GB2312" w:eastAsia="仿宋_GB2312" w:cs="仿宋_GB2312"/>
        <w:color w:val="888888"/>
        <w:sz w:val="16"/>
        <w:szCs w:val="16"/>
      </w:rPr>
      <w:t xml:space="preserve"> 页 / 共 </w:t>
    </w:r>
    <w:r>
      <w:rPr>
        <w:rFonts w:ascii="仿宋_GB2312" w:hAnsi="仿宋_GB2312" w:eastAsia="仿宋_GB2312" w:cs="仿宋_GB2312"/>
        <w:color w:val="888888"/>
        <w:sz w:val="16"/>
        <w:szCs w:val="16"/>
      </w:rPr>
      <w:fldChar w:fldCharType="begin"/>
    </w:r>
    <w:r>
      <w:rPr>
        <w:rFonts w:ascii="仿宋_GB2312" w:hAnsi="仿宋_GB2312" w:eastAsia="仿宋_GB2312" w:cs="仿宋_GB2312"/>
        <w:color w:val="888888"/>
        <w:sz w:val="16"/>
        <w:szCs w:val="16"/>
      </w:rPr>
      <w:instrText xml:space="preserve">NUMPAGES</w:instrText>
    </w:r>
    <w:r>
      <w:rPr>
        <w:rFonts w:ascii="仿宋_GB2312" w:hAnsi="仿宋_GB2312" w:eastAsia="仿宋_GB2312" w:cs="仿宋_GB2312"/>
        <w:color w:val="888888"/>
        <w:sz w:val="16"/>
        <w:szCs w:val="16"/>
      </w:rPr>
      <w:fldChar w:fldCharType="separate"/>
    </w:r>
    <w:r>
      <w:rPr>
        <w:rFonts w:ascii="仿宋_GB2312" w:hAnsi="仿宋_GB2312" w:eastAsia="仿宋_GB2312" w:cs="仿宋_GB2312"/>
        <w:color w:val="888888"/>
        <w:sz w:val="16"/>
        <w:szCs w:val="16"/>
      </w:rPr>
      <w:t>2</w:t>
    </w:r>
    <w:r>
      <w:rPr>
        <w:rFonts w:ascii="仿宋_GB2312" w:hAnsi="仿宋_GB2312" w:eastAsia="仿宋_GB2312" w:cs="仿宋_GB2312"/>
        <w:color w:val="888888"/>
        <w:sz w:val="16"/>
        <w:szCs w:val="16"/>
      </w:rPr>
      <w:fldChar w:fldCharType="end"/>
    </w:r>
    <w:r>
      <w:rPr>
        <w:rFonts w:ascii="仿宋_GB2312" w:hAnsi="仿宋_GB2312" w:eastAsia="仿宋_GB2312" w:cs="仿宋_GB2312"/>
        <w:color w:val="888888"/>
        <w:sz w:val="16"/>
        <w:szCs w:val="16"/>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0E"/>
    <w:rsid w:val="00006A23"/>
    <w:rsid w:val="00053DBA"/>
    <w:rsid w:val="000953A9"/>
    <w:rsid w:val="0011398C"/>
    <w:rsid w:val="001228DE"/>
    <w:rsid w:val="0015075E"/>
    <w:rsid w:val="002C50AD"/>
    <w:rsid w:val="00312FB4"/>
    <w:rsid w:val="00335FE4"/>
    <w:rsid w:val="003705A3"/>
    <w:rsid w:val="004C58B4"/>
    <w:rsid w:val="00507BE0"/>
    <w:rsid w:val="00537B06"/>
    <w:rsid w:val="005B1077"/>
    <w:rsid w:val="00631D6E"/>
    <w:rsid w:val="00634999"/>
    <w:rsid w:val="007007DA"/>
    <w:rsid w:val="00773F5B"/>
    <w:rsid w:val="007837CF"/>
    <w:rsid w:val="007E7DFD"/>
    <w:rsid w:val="00816BCC"/>
    <w:rsid w:val="00836CAF"/>
    <w:rsid w:val="00880710"/>
    <w:rsid w:val="00893770"/>
    <w:rsid w:val="008C1564"/>
    <w:rsid w:val="008E6355"/>
    <w:rsid w:val="00942D2B"/>
    <w:rsid w:val="009C719F"/>
    <w:rsid w:val="009D720E"/>
    <w:rsid w:val="00A35E65"/>
    <w:rsid w:val="00AE545D"/>
    <w:rsid w:val="00AF10DE"/>
    <w:rsid w:val="00B44B22"/>
    <w:rsid w:val="00BE326A"/>
    <w:rsid w:val="00C2646F"/>
    <w:rsid w:val="00C44CAA"/>
    <w:rsid w:val="00CA3BE3"/>
    <w:rsid w:val="00CD3536"/>
    <w:rsid w:val="00D33691"/>
    <w:rsid w:val="00EA3318"/>
    <w:rsid w:val="00F5173F"/>
    <w:rsid w:val="00F95C20"/>
    <w:rsid w:val="00FE6CAE"/>
    <w:rsid w:val="01197D0C"/>
    <w:rsid w:val="025D08EA"/>
    <w:rsid w:val="02693F31"/>
    <w:rsid w:val="02B8591E"/>
    <w:rsid w:val="052460FB"/>
    <w:rsid w:val="0ACA0AE6"/>
    <w:rsid w:val="0BBF6171"/>
    <w:rsid w:val="0C964BEE"/>
    <w:rsid w:val="0DD72C85"/>
    <w:rsid w:val="0E3D46F2"/>
    <w:rsid w:val="0EDF41FA"/>
    <w:rsid w:val="10004C04"/>
    <w:rsid w:val="11534A69"/>
    <w:rsid w:val="119B1652"/>
    <w:rsid w:val="12B45347"/>
    <w:rsid w:val="1370283F"/>
    <w:rsid w:val="144C170D"/>
    <w:rsid w:val="157955E3"/>
    <w:rsid w:val="17F97BA9"/>
    <w:rsid w:val="1B572248"/>
    <w:rsid w:val="1B805994"/>
    <w:rsid w:val="1DB7438B"/>
    <w:rsid w:val="205B6C58"/>
    <w:rsid w:val="208337BA"/>
    <w:rsid w:val="20FB5A46"/>
    <w:rsid w:val="24605148"/>
    <w:rsid w:val="2A2E3F3A"/>
    <w:rsid w:val="2A6F6CAF"/>
    <w:rsid w:val="2B116592"/>
    <w:rsid w:val="2C724916"/>
    <w:rsid w:val="2C7F752B"/>
    <w:rsid w:val="2D572FD7"/>
    <w:rsid w:val="2D5B4B37"/>
    <w:rsid w:val="32ED7341"/>
    <w:rsid w:val="337B4EF0"/>
    <w:rsid w:val="34963664"/>
    <w:rsid w:val="3709636F"/>
    <w:rsid w:val="373415DE"/>
    <w:rsid w:val="39EA1A9C"/>
    <w:rsid w:val="3BBC54AC"/>
    <w:rsid w:val="3C3A521C"/>
    <w:rsid w:val="3C810B9A"/>
    <w:rsid w:val="3E4453B3"/>
    <w:rsid w:val="3E5B4951"/>
    <w:rsid w:val="3F636838"/>
    <w:rsid w:val="42BA6AC5"/>
    <w:rsid w:val="459C4E77"/>
    <w:rsid w:val="46647A66"/>
    <w:rsid w:val="466E2380"/>
    <w:rsid w:val="46E076E5"/>
    <w:rsid w:val="46FE408B"/>
    <w:rsid w:val="4D177B43"/>
    <w:rsid w:val="4DFC607B"/>
    <w:rsid w:val="4E1F4272"/>
    <w:rsid w:val="4F794596"/>
    <w:rsid w:val="510C3187"/>
    <w:rsid w:val="52A158F4"/>
    <w:rsid w:val="52CD6993"/>
    <w:rsid w:val="581F559B"/>
    <w:rsid w:val="58E23341"/>
    <w:rsid w:val="594828CF"/>
    <w:rsid w:val="59E56370"/>
    <w:rsid w:val="5B1E125F"/>
    <w:rsid w:val="5D557CB0"/>
    <w:rsid w:val="5DA54794"/>
    <w:rsid w:val="5DF03535"/>
    <w:rsid w:val="5F622211"/>
    <w:rsid w:val="611430D1"/>
    <w:rsid w:val="61F45179"/>
    <w:rsid w:val="620439F6"/>
    <w:rsid w:val="62E0626E"/>
    <w:rsid w:val="6369403C"/>
    <w:rsid w:val="638E0ED0"/>
    <w:rsid w:val="64B33C3A"/>
    <w:rsid w:val="672416A1"/>
    <w:rsid w:val="6839427F"/>
    <w:rsid w:val="684838A9"/>
    <w:rsid w:val="6BF82413"/>
    <w:rsid w:val="6D203E37"/>
    <w:rsid w:val="6D3C65E3"/>
    <w:rsid w:val="6DEC5BCB"/>
    <w:rsid w:val="6F6932AA"/>
    <w:rsid w:val="6FFE61E7"/>
    <w:rsid w:val="72253C9E"/>
    <w:rsid w:val="726407BF"/>
    <w:rsid w:val="72CD1BDF"/>
    <w:rsid w:val="72F6693E"/>
    <w:rsid w:val="73345B1D"/>
    <w:rsid w:val="754E02C3"/>
    <w:rsid w:val="75BF3AC1"/>
    <w:rsid w:val="78201DF4"/>
    <w:rsid w:val="79556F37"/>
    <w:rsid w:val="7FF01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outlineLvl w:val="0"/>
    </w:pPr>
    <w:rPr>
      <w:rFonts w:asciiTheme="minorHAnsi" w:hAnsiTheme="minorHAnsi" w:eastAsiaTheme="minorEastAsia" w:cstheme="minorBidi"/>
      <w:color w:val="2E74B5"/>
      <w:sz w:val="32"/>
      <w:szCs w:val="32"/>
      <w:lang w:val="en-US" w:eastAsia="zh-CN" w:bidi="ar-SA"/>
    </w:rPr>
  </w:style>
  <w:style w:type="paragraph" w:styleId="3">
    <w:name w:val="heading 2"/>
    <w:next w:val="1"/>
    <w:qFormat/>
    <w:uiPriority w:val="0"/>
    <w:pPr>
      <w:outlineLvl w:val="1"/>
    </w:pPr>
    <w:rPr>
      <w:rFonts w:asciiTheme="minorHAnsi" w:hAnsiTheme="minorHAnsi" w:eastAsiaTheme="minorEastAsia" w:cstheme="minorBidi"/>
      <w:color w:val="2E74B5"/>
      <w:sz w:val="26"/>
      <w:szCs w:val="26"/>
      <w:lang w:val="en-US" w:eastAsia="zh-CN" w:bidi="ar-SA"/>
    </w:rPr>
  </w:style>
  <w:style w:type="paragraph" w:styleId="4">
    <w:name w:val="heading 3"/>
    <w:next w:val="1"/>
    <w:qFormat/>
    <w:uiPriority w:val="0"/>
    <w:pPr>
      <w:outlineLvl w:val="2"/>
    </w:pPr>
    <w:rPr>
      <w:rFonts w:asciiTheme="minorHAnsi" w:hAnsiTheme="minorHAnsi" w:eastAsiaTheme="minorEastAsia" w:cstheme="minorBidi"/>
      <w:color w:val="1F4D78"/>
      <w:sz w:val="24"/>
      <w:szCs w:val="24"/>
      <w:lang w:val="en-US" w:eastAsia="zh-CN" w:bidi="ar-SA"/>
    </w:rPr>
  </w:style>
  <w:style w:type="paragraph" w:styleId="5">
    <w:name w:val="heading 4"/>
    <w:next w:val="1"/>
    <w:qFormat/>
    <w:uiPriority w:val="0"/>
    <w:pPr>
      <w:outlineLvl w:val="3"/>
    </w:pPr>
    <w:rPr>
      <w:rFonts w:asciiTheme="minorHAnsi" w:hAnsiTheme="minorHAnsi" w:eastAsiaTheme="minorEastAsia" w:cstheme="minorBidi"/>
      <w:i/>
      <w:iCs/>
      <w:color w:val="2E74B5"/>
      <w:sz w:val="21"/>
      <w:szCs w:val="22"/>
      <w:lang w:val="en-US" w:eastAsia="zh-CN" w:bidi="ar-SA"/>
    </w:rPr>
  </w:style>
  <w:style w:type="paragraph" w:styleId="6">
    <w:name w:val="heading 5"/>
    <w:next w:val="1"/>
    <w:qFormat/>
    <w:uiPriority w:val="0"/>
    <w:pPr>
      <w:outlineLvl w:val="4"/>
    </w:pPr>
    <w:rPr>
      <w:rFonts w:asciiTheme="minorHAnsi" w:hAnsiTheme="minorHAnsi" w:eastAsiaTheme="minorEastAsia" w:cstheme="minorBidi"/>
      <w:color w:val="2E74B5"/>
      <w:sz w:val="21"/>
      <w:szCs w:val="22"/>
      <w:lang w:val="en-US" w:eastAsia="zh-CN" w:bidi="ar-SA"/>
    </w:rPr>
  </w:style>
  <w:style w:type="paragraph" w:styleId="7">
    <w:name w:val="heading 6"/>
    <w:next w:val="1"/>
    <w:qFormat/>
    <w:uiPriority w:val="0"/>
    <w:pPr>
      <w:outlineLvl w:val="5"/>
    </w:pPr>
    <w:rPr>
      <w:rFonts w:asciiTheme="minorHAnsi" w:hAnsiTheme="minorHAnsi" w:eastAsiaTheme="minorEastAsia" w:cstheme="minorBidi"/>
      <w:color w:val="1F4D78"/>
      <w:sz w:val="21"/>
      <w:szCs w:val="2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endnote text"/>
    <w:link w:val="21"/>
    <w:semiHidden/>
    <w:unhideWhenUsed/>
    <w:qFormat/>
    <w:uiPriority w:val="99"/>
    <w:rPr>
      <w:rFonts w:asciiTheme="minorHAnsi" w:hAnsiTheme="minorHAnsi" w:eastAsiaTheme="minorEastAsia" w:cstheme="minorBidi"/>
      <w:lang w:val="en-US" w:eastAsia="zh-CN" w:bidi="ar-SA"/>
    </w:rPr>
  </w:style>
  <w:style w:type="paragraph" w:styleId="10">
    <w:name w:val="footer"/>
    <w:basedOn w:val="1"/>
    <w:link w:val="23"/>
    <w:qFormat/>
    <w:uiPriority w:val="0"/>
    <w:pPr>
      <w:tabs>
        <w:tab w:val="center" w:pos="4153"/>
        <w:tab w:val="right" w:pos="8306"/>
      </w:tabs>
      <w:snapToGrid w:val="0"/>
      <w:jc w:val="left"/>
    </w:pPr>
    <w:rPr>
      <w:sz w:val="18"/>
      <w:szCs w:val="18"/>
    </w:rPr>
  </w:style>
  <w:style w:type="paragraph" w:styleId="11">
    <w:name w:val="header"/>
    <w:basedOn w:val="1"/>
    <w:link w:val="22"/>
    <w:qFormat/>
    <w:uiPriority w:val="0"/>
    <w:pPr>
      <w:tabs>
        <w:tab w:val="center" w:pos="4153"/>
        <w:tab w:val="right" w:pos="8306"/>
      </w:tabs>
      <w:snapToGrid w:val="0"/>
      <w:jc w:val="center"/>
    </w:pPr>
    <w:rPr>
      <w:sz w:val="18"/>
      <w:szCs w:val="18"/>
    </w:rPr>
  </w:style>
  <w:style w:type="paragraph" w:styleId="12">
    <w:name w:val="footnote text"/>
    <w:link w:val="20"/>
    <w:semiHidden/>
    <w:unhideWhenUsed/>
    <w:qFormat/>
    <w:uiPriority w:val="99"/>
    <w:rPr>
      <w:rFonts w:asciiTheme="minorHAnsi" w:hAnsiTheme="minorHAnsi" w:eastAsiaTheme="minorEastAsia" w:cstheme="minorBidi"/>
      <w:lang w:val="en-US" w:eastAsia="zh-CN" w:bidi="ar-SA"/>
    </w:rPr>
  </w:style>
  <w:style w:type="paragraph" w:styleId="13">
    <w:name w:val="Title"/>
    <w:qFormat/>
    <w:uiPriority w:val="0"/>
    <w:rPr>
      <w:rFonts w:asciiTheme="minorHAnsi" w:hAnsiTheme="minorHAnsi" w:eastAsiaTheme="minorEastAsia" w:cstheme="minorBidi"/>
      <w:sz w:val="56"/>
      <w:szCs w:val="56"/>
      <w:lang w:val="en-US" w:eastAsia="zh-CN" w:bidi="ar-SA"/>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rPr>
      <w:rFonts w:asciiTheme="minorHAnsi" w:hAnsiTheme="minorHAnsi" w:eastAsiaTheme="minorEastAsia" w:cstheme="minorBidi"/>
      <w:sz w:val="21"/>
      <w:szCs w:val="22"/>
      <w:lang w:val="en-US" w:eastAsia="zh-CN" w:bidi="ar-SA"/>
    </w:rPr>
  </w:style>
  <w:style w:type="character" w:customStyle="1" w:styleId="20">
    <w:name w:val="脚注文本 字符"/>
    <w:link w:val="12"/>
    <w:semiHidden/>
    <w:unhideWhenUsed/>
    <w:qFormat/>
    <w:uiPriority w:val="99"/>
    <w:rPr>
      <w:sz w:val="20"/>
      <w:szCs w:val="20"/>
    </w:rPr>
  </w:style>
  <w:style w:type="character" w:customStyle="1" w:styleId="21">
    <w:name w:val="尾注文本 字符"/>
    <w:link w:val="9"/>
    <w:semiHidden/>
    <w:unhideWhenUsed/>
    <w:qFormat/>
    <w:uiPriority w:val="99"/>
    <w:rPr>
      <w:sz w:val="20"/>
      <w:szCs w:val="20"/>
    </w:rPr>
  </w:style>
  <w:style w:type="character" w:customStyle="1" w:styleId="22">
    <w:name w:val="页眉 字符"/>
    <w:basedOn w:val="15"/>
    <w:link w:val="11"/>
    <w:qFormat/>
    <w:uiPriority w:val="0"/>
    <w:rPr>
      <w:sz w:val="18"/>
      <w:szCs w:val="18"/>
    </w:rPr>
  </w:style>
  <w:style w:type="character" w:customStyle="1" w:styleId="23">
    <w:name w:val="页脚 字符"/>
    <w:basedOn w:val="15"/>
    <w:link w:val="10"/>
    <w:qFormat/>
    <w:uiPriority w:val="0"/>
    <w:rPr>
      <w:sz w:val="18"/>
      <w:szCs w:val="18"/>
    </w:rPr>
  </w:style>
  <w:style w:type="paragraph" w:customStyle="1" w:styleId="24">
    <w:name w:val="Revision"/>
    <w:hidden/>
    <w:unhideWhenUsed/>
    <w:qFormat/>
    <w:uiPriority w:val="99"/>
    <w:rPr>
      <w:rFonts w:asciiTheme="minorHAnsi" w:hAnsiTheme="minorHAnsi" w:eastAsiaTheme="minorEastAsia" w:cstheme="minorBid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2848</Words>
  <Characters>3149</Characters>
  <Lines>23</Lines>
  <Paragraphs>6</Paragraphs>
  <TotalTime>0</TotalTime>
  <ScaleCrop>false</ScaleCrop>
  <LinksUpToDate>false</LinksUpToDate>
  <CharactersWithSpaces>3174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2026-06-29T05:18:00Z</dcterms:created>
  <dc:creator>Un-named</dc:creator>
  <cp:lastModifiedBy>WPS_1641191630</cp:lastModifiedBy>
  <dcterms:modified xsi:type="dcterms:W3CDTF">2026-07-08T09:42:19Z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eyJoZGlkIjoiNmU0MmI4ZTI2NGVjMDQ4ODI1YWE4YmZhNWJmODJiOWMiLCJ1c2VySWQiOiIxMzA2ODYwODg5In0=</vt:lpwstr>
  </property>
  <property fmtid="{D5CDD505-2E9C-101B-9397-08002B2CF9AE}" pid="3" name="KSOProductBuildVer">
    <vt:lpwstr>2052-12.1.0.26895</vt:lpwstr>
  </property>
  <property fmtid="{D5CDD505-2E9C-101B-9397-08002B2CF9AE}" pid="4" name="ICV">
    <vt:lpwstr>44B5BB7C9E7346FF97738DB8111108B5_13</vt:lpwstr>
  </property>
</Properties>
</file>